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BE5F1" w:themeColor="accent1" w:themeTint="33"/>
  <w:body>
    <w:p w:rsidR="005A5E6E" w:rsidRPr="00D2555A" w:rsidRDefault="005A5E6E" w:rsidP="00D17BFD">
      <w:pPr>
        <w:jc w:val="center"/>
        <w:rPr>
          <w:color w:val="000000" w:themeColor="text1"/>
          <w:sz w:val="72"/>
          <w:szCs w:val="72"/>
          <w:u w:val="single"/>
        </w:rPr>
      </w:pPr>
      <w:r w:rsidRPr="00D2555A">
        <w:rPr>
          <w:color w:val="000000" w:themeColor="text1"/>
          <w:sz w:val="72"/>
          <w:szCs w:val="72"/>
          <w:u w:val="single"/>
        </w:rPr>
        <w:t>Głazy Narzutowe</w:t>
      </w:r>
    </w:p>
    <w:p w:rsidR="005A5E6E" w:rsidRPr="005A5E6E" w:rsidRDefault="00D17BFD" w:rsidP="005A5E6E">
      <w:r w:rsidRPr="00D17BFD">
        <w:rPr>
          <w:color w:val="000000" w:themeColor="text1"/>
          <w:sz w:val="52"/>
          <w:szCs w:val="52"/>
          <w:u w:val="single"/>
        </w:rPr>
        <w:pict>
          <v:shapetype id="_x0000_t202" coordsize="21600,21600" o:spt="202" path="m,l,21600r21600,l21600,xe">
            <v:stroke joinstyle="miter"/>
            <v:path gradientshapeok="t" o:connecttype="rect"/>
          </v:shapetype>
          <v:shape id="_x0000_s1026" type="#_x0000_t202" style="position:absolute;margin-left:57.55pt;margin-top:.25pt;width:351pt;height:276pt;z-index:251660288;mso-width-relative:margin;mso-height-relative:margin" fillcolor="#dbe5f1 [660]" strokecolor="#dbe5f1 [660]">
            <v:textbox>
              <w:txbxContent>
                <w:p w:rsidR="005A5E6E" w:rsidRDefault="005A5E6E">
                  <w:r w:rsidRPr="005A5E6E">
                    <w:drawing>
                      <wp:inline distT="0" distB="0" distL="0" distR="0">
                        <wp:extent cx="4615815" cy="3479263"/>
                        <wp:effectExtent l="19050" t="0" r="0" b="0"/>
                        <wp:docPr id="4" name="Obraz 1" descr="Plik:Głaz ursynowski.jp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Głaz ursynowski.jpg – Wikipedia, wolna encyklopedia"/>
                                <pic:cNvPicPr>
                                  <a:picLocks noChangeAspect="1" noChangeArrowheads="1"/>
                                </pic:cNvPicPr>
                              </pic:nvPicPr>
                              <pic:blipFill>
                                <a:blip r:embed="rId4"/>
                                <a:srcRect/>
                                <a:stretch>
                                  <a:fillRect/>
                                </a:stretch>
                              </pic:blipFill>
                              <pic:spPr bwMode="auto">
                                <a:xfrm>
                                  <a:off x="0" y="0"/>
                                  <a:ext cx="4615815" cy="3479263"/>
                                </a:xfrm>
                                <a:prstGeom prst="rect">
                                  <a:avLst/>
                                </a:prstGeom>
                                <a:noFill/>
                                <a:ln w="9525">
                                  <a:noFill/>
                                  <a:miter lim="800000"/>
                                  <a:headEnd/>
                                  <a:tailEnd/>
                                </a:ln>
                              </pic:spPr>
                            </pic:pic>
                          </a:graphicData>
                        </a:graphic>
                      </wp:inline>
                    </w:drawing>
                  </w:r>
                </w:p>
              </w:txbxContent>
            </v:textbox>
          </v:shape>
        </w:pict>
      </w:r>
    </w:p>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Pr="005A5E6E" w:rsidRDefault="005A5E6E" w:rsidP="005A5E6E"/>
    <w:p w:rsidR="005A5E6E" w:rsidRDefault="005A5E6E" w:rsidP="005A5E6E"/>
    <w:p w:rsidR="00D17BFD" w:rsidRPr="00D17BFD" w:rsidRDefault="00D17BFD" w:rsidP="005A5E6E">
      <w:pPr>
        <w:rPr>
          <w:sz w:val="24"/>
          <w:szCs w:val="24"/>
        </w:rPr>
      </w:pPr>
    </w:p>
    <w:p w:rsidR="005A5E6E" w:rsidRPr="005E1150" w:rsidRDefault="005A5E6E" w:rsidP="005A5E6E">
      <w:pPr>
        <w:rPr>
          <w:rFonts w:ascii="Times New Roman" w:hAnsi="Times New Roman" w:cs="Times New Roman"/>
        </w:rPr>
      </w:pPr>
      <w:r w:rsidRPr="005E1150">
        <w:rPr>
          <w:rFonts w:ascii="Times New Roman" w:hAnsi="Times New Roman" w:cs="Times New Roman"/>
        </w:rPr>
        <w:t>Obszary północnej i środkowej Polski pokryte są tworami polodowcowymi – składają się na nie głazy, żwirowiska, piaski, mułki, różne gliny i iły. Obok całkowicie zwietrzałych skał moreny zawierają też materiał grubszy – zaokrąglone bryły i wielkie bloki często o objętości wielu metrów sześciennych. Część z nich uległa zniszczeniu, jednak te utworzone ze skał odporniejszych zachowały się do naszych czasów.</w:t>
      </w:r>
    </w:p>
    <w:p w:rsidR="00D17BFD" w:rsidRPr="005E1150" w:rsidRDefault="005A5E6E" w:rsidP="005A5E6E">
      <w:r w:rsidRPr="005E1150">
        <w:t xml:space="preserve"> </w:t>
      </w:r>
      <w:r w:rsidRPr="005E1150">
        <w:rPr>
          <w:rFonts w:ascii="Times New Roman" w:hAnsi="Times New Roman" w:cs="Times New Roman"/>
        </w:rPr>
        <w:t>Podobne twory znajdują się na obszarze Niemiec, północnej Francji, Wielkiej Brytanii, Kanady, północnej części Stanów Zjednoczonych, czyli wszędzie tam, gdzie dotarł plejstoceński lądolód. Eratyki spotyka się również na obszarach, które były pokryte przez lodowce górskie.</w:t>
      </w:r>
      <w:r w:rsidR="00D17BFD" w:rsidRPr="005E1150">
        <w:t xml:space="preserve"> </w:t>
      </w:r>
    </w:p>
    <w:p w:rsidR="005A5E6E" w:rsidRPr="005E1150" w:rsidRDefault="00D17BFD" w:rsidP="005A5E6E">
      <w:pPr>
        <w:rPr>
          <w:rFonts w:ascii="Times New Roman" w:hAnsi="Times New Roman" w:cs="Times New Roman"/>
        </w:rPr>
      </w:pPr>
      <w:r w:rsidRPr="005E1150">
        <w:rPr>
          <w:rFonts w:ascii="Times New Roman" w:hAnsi="Times New Roman" w:cs="Times New Roman"/>
        </w:rPr>
        <w:t xml:space="preserve">Największym głazem narzutowym na świecie jest prawdopodobnie głaz Lewiatan w Parku Narodowym </w:t>
      </w:r>
      <w:proofErr w:type="spellStart"/>
      <w:r w:rsidRPr="005E1150">
        <w:rPr>
          <w:rFonts w:ascii="Times New Roman" w:hAnsi="Times New Roman" w:cs="Times New Roman"/>
        </w:rPr>
        <w:t>Mt</w:t>
      </w:r>
      <w:proofErr w:type="spellEnd"/>
      <w:r w:rsidRPr="005E1150">
        <w:rPr>
          <w:rFonts w:ascii="Times New Roman" w:hAnsi="Times New Roman" w:cs="Times New Roman"/>
        </w:rPr>
        <w:t xml:space="preserve">. Buffalo w Australii, w stanie Wiktoria o wymiarach 33 × 21 × 12 m. Z występowania olbrzymich głazów znane są też masyw </w:t>
      </w:r>
      <w:proofErr w:type="spellStart"/>
      <w:r w:rsidRPr="005E1150">
        <w:rPr>
          <w:rFonts w:ascii="Times New Roman" w:hAnsi="Times New Roman" w:cs="Times New Roman"/>
        </w:rPr>
        <w:t>Erongo</w:t>
      </w:r>
      <w:proofErr w:type="spellEnd"/>
      <w:r w:rsidRPr="005E1150">
        <w:rPr>
          <w:rFonts w:ascii="Times New Roman" w:hAnsi="Times New Roman" w:cs="Times New Roman"/>
        </w:rPr>
        <w:t xml:space="preserve"> w Namibii oraz płaskowyż </w:t>
      </w:r>
      <w:proofErr w:type="spellStart"/>
      <w:r w:rsidRPr="005E1150">
        <w:rPr>
          <w:rFonts w:ascii="Times New Roman" w:hAnsi="Times New Roman" w:cs="Times New Roman"/>
        </w:rPr>
        <w:t>Serra</w:t>
      </w:r>
      <w:proofErr w:type="spellEnd"/>
      <w:r w:rsidRPr="005E1150">
        <w:rPr>
          <w:rFonts w:ascii="Times New Roman" w:hAnsi="Times New Roman" w:cs="Times New Roman"/>
        </w:rPr>
        <w:t xml:space="preserve"> da </w:t>
      </w:r>
      <w:proofErr w:type="spellStart"/>
      <w:r w:rsidRPr="005E1150">
        <w:rPr>
          <w:rFonts w:ascii="Times New Roman" w:hAnsi="Times New Roman" w:cs="Times New Roman"/>
        </w:rPr>
        <w:t>Estrela</w:t>
      </w:r>
      <w:proofErr w:type="spellEnd"/>
      <w:r w:rsidRPr="005E1150">
        <w:rPr>
          <w:rFonts w:ascii="Times New Roman" w:hAnsi="Times New Roman" w:cs="Times New Roman"/>
        </w:rPr>
        <w:t xml:space="preserve"> w Portugalii[1]. Największym głazem narzutowym Europy jest prawdopodobnie głaz </w:t>
      </w:r>
      <w:proofErr w:type="spellStart"/>
      <w:r w:rsidRPr="005E1150">
        <w:rPr>
          <w:rFonts w:ascii="Times New Roman" w:hAnsi="Times New Roman" w:cs="Times New Roman"/>
        </w:rPr>
        <w:t>Ehalkivi</w:t>
      </w:r>
      <w:proofErr w:type="spellEnd"/>
      <w:r w:rsidRPr="005E1150">
        <w:rPr>
          <w:rFonts w:ascii="Times New Roman" w:hAnsi="Times New Roman" w:cs="Times New Roman"/>
        </w:rPr>
        <w:t xml:space="preserve"> na bałtyckim wybrzeżu Estonii, granit pegmatytowy o obwodzie ok. 50 m i objętości ok. 980 </w:t>
      </w:r>
      <w:proofErr w:type="spellStart"/>
      <w:r w:rsidRPr="005E1150">
        <w:rPr>
          <w:rFonts w:ascii="Times New Roman" w:hAnsi="Times New Roman" w:cs="Times New Roman"/>
        </w:rPr>
        <w:t>m³</w:t>
      </w:r>
      <w:proofErr w:type="spellEnd"/>
      <w:r w:rsidRPr="005E1150">
        <w:rPr>
          <w:rFonts w:ascii="Times New Roman" w:hAnsi="Times New Roman" w:cs="Times New Roman"/>
        </w:rPr>
        <w:t xml:space="preserve">. Wybrzeże Estonii jest w ogóle największym skupieniem głazów w Europie: do największych należą głazy </w:t>
      </w:r>
      <w:proofErr w:type="spellStart"/>
      <w:r w:rsidRPr="005E1150">
        <w:rPr>
          <w:rFonts w:ascii="Times New Roman" w:hAnsi="Times New Roman" w:cs="Times New Roman"/>
        </w:rPr>
        <w:t>Majakiwi</w:t>
      </w:r>
      <w:proofErr w:type="spellEnd"/>
      <w:r w:rsidRPr="005E1150">
        <w:rPr>
          <w:rFonts w:ascii="Times New Roman" w:hAnsi="Times New Roman" w:cs="Times New Roman"/>
        </w:rPr>
        <w:t xml:space="preserve"> (ok. 570 </w:t>
      </w:r>
      <w:proofErr w:type="spellStart"/>
      <w:r w:rsidRPr="005E1150">
        <w:rPr>
          <w:rFonts w:ascii="Times New Roman" w:hAnsi="Times New Roman" w:cs="Times New Roman"/>
        </w:rPr>
        <w:t>m³</w:t>
      </w:r>
      <w:proofErr w:type="spellEnd"/>
      <w:r w:rsidRPr="005E1150">
        <w:rPr>
          <w:rFonts w:ascii="Times New Roman" w:hAnsi="Times New Roman" w:cs="Times New Roman"/>
        </w:rPr>
        <w:t xml:space="preserve"> objętości) w Parku Narodowym </w:t>
      </w:r>
      <w:proofErr w:type="spellStart"/>
      <w:r w:rsidRPr="005E1150">
        <w:rPr>
          <w:rFonts w:ascii="Times New Roman" w:hAnsi="Times New Roman" w:cs="Times New Roman"/>
        </w:rPr>
        <w:t>Lahemaa</w:t>
      </w:r>
      <w:proofErr w:type="spellEnd"/>
      <w:r w:rsidRPr="005E1150">
        <w:rPr>
          <w:rFonts w:ascii="Times New Roman" w:hAnsi="Times New Roman" w:cs="Times New Roman"/>
        </w:rPr>
        <w:t xml:space="preserve">, </w:t>
      </w:r>
      <w:proofErr w:type="spellStart"/>
      <w:r w:rsidRPr="005E1150">
        <w:rPr>
          <w:rFonts w:ascii="Times New Roman" w:hAnsi="Times New Roman" w:cs="Times New Roman"/>
        </w:rPr>
        <w:t>Kabelikivi</w:t>
      </w:r>
      <w:proofErr w:type="spellEnd"/>
      <w:r w:rsidRPr="005E1150">
        <w:rPr>
          <w:rFonts w:ascii="Times New Roman" w:hAnsi="Times New Roman" w:cs="Times New Roman"/>
        </w:rPr>
        <w:t xml:space="preserve"> k. Tallinna (57 m obwodu, ok. 780 </w:t>
      </w:r>
      <w:proofErr w:type="spellStart"/>
      <w:r w:rsidRPr="005E1150">
        <w:rPr>
          <w:rFonts w:ascii="Times New Roman" w:hAnsi="Times New Roman" w:cs="Times New Roman"/>
        </w:rPr>
        <w:t>m³</w:t>
      </w:r>
      <w:proofErr w:type="spellEnd"/>
      <w:r w:rsidRPr="005E1150">
        <w:rPr>
          <w:rFonts w:ascii="Times New Roman" w:hAnsi="Times New Roman" w:cs="Times New Roman"/>
        </w:rPr>
        <w:t xml:space="preserve"> objętości) oraz skupienie głazów – Głazowisko </w:t>
      </w:r>
      <w:proofErr w:type="spellStart"/>
      <w:r w:rsidRPr="005E1150">
        <w:rPr>
          <w:rFonts w:ascii="Times New Roman" w:hAnsi="Times New Roman" w:cs="Times New Roman"/>
        </w:rPr>
        <w:t>Helmersena</w:t>
      </w:r>
      <w:proofErr w:type="spellEnd"/>
      <w:r w:rsidRPr="005E1150">
        <w:rPr>
          <w:rFonts w:ascii="Times New Roman" w:hAnsi="Times New Roman" w:cs="Times New Roman"/>
        </w:rPr>
        <w:t xml:space="preserve"> na wyspie Hiuma.</w:t>
      </w:r>
    </w:p>
    <w:p w:rsidR="005A5E6E" w:rsidRPr="005E1150" w:rsidRDefault="005A5E6E" w:rsidP="005A5E6E">
      <w:pPr>
        <w:rPr>
          <w:rFonts w:ascii="Times New Roman" w:hAnsi="Times New Roman" w:cs="Times New Roman"/>
        </w:rPr>
      </w:pPr>
      <w:r w:rsidRPr="005E1150">
        <w:rPr>
          <w:rFonts w:ascii="Times New Roman" w:hAnsi="Times New Roman" w:cs="Times New Roman"/>
        </w:rPr>
        <w:t>Przedstawiony na obrazku okaz to Głaz Ursynowski – największy głaz narzutowy na terenie Warszawy</w:t>
      </w:r>
      <w:r w:rsidR="00E76F33">
        <w:rPr>
          <w:rFonts w:ascii="Times New Roman" w:hAnsi="Times New Roman" w:cs="Times New Roman"/>
        </w:rPr>
        <w:t>.</w:t>
      </w:r>
    </w:p>
    <w:sectPr w:rsidR="005A5E6E" w:rsidRPr="005E1150" w:rsidSect="005A5E6E">
      <w:pgSz w:w="11906" w:h="16838" w:code="9"/>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characterSpacingControl w:val="doNotCompress"/>
  <w:compat/>
  <w:rsids>
    <w:rsidRoot w:val="005A5E6E"/>
    <w:rsid w:val="00144E83"/>
    <w:rsid w:val="005A5E6E"/>
    <w:rsid w:val="005E1150"/>
    <w:rsid w:val="008A1D8D"/>
    <w:rsid w:val="00BD41AB"/>
    <w:rsid w:val="00D17BFD"/>
    <w:rsid w:val="00D2555A"/>
    <w:rsid w:val="00E76F33"/>
    <w:rsid w:val="00EC229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stroke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1D8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A5E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5E6E"/>
    <w:rPr>
      <w:rFonts w:ascii="Tahoma" w:hAnsi="Tahoma" w:cs="Tahoma"/>
      <w:sz w:val="16"/>
      <w:szCs w:val="16"/>
    </w:rPr>
  </w:style>
  <w:style w:type="paragraph" w:styleId="Tytu">
    <w:name w:val="Title"/>
    <w:basedOn w:val="Normalny"/>
    <w:next w:val="Normalny"/>
    <w:link w:val="TytuZnak"/>
    <w:uiPriority w:val="10"/>
    <w:qFormat/>
    <w:rsid w:val="005A5E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5A5E6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219</Words>
  <Characters>1319</Characters>
  <Application>Microsoft Office Word</Application>
  <DocSecurity>0</DocSecurity>
  <Lines>10</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n.okninski@op.pl</dc:creator>
  <cp:lastModifiedBy>n.okninski@op.pl</cp:lastModifiedBy>
  <cp:revision>7</cp:revision>
  <dcterms:created xsi:type="dcterms:W3CDTF">2020-06-03T10:53:00Z</dcterms:created>
  <dcterms:modified xsi:type="dcterms:W3CDTF">2020-06-03T11:01:00Z</dcterms:modified>
</cp:coreProperties>
</file>